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1AF7" w14:textId="1C25F52F" w:rsidR="00CE2B74" w:rsidRDefault="00CE2B74" w:rsidP="00CE2B7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107-e</w:t>
      </w:r>
      <w:r w:rsidRPr="00435F1E">
        <w:rPr>
          <w:rFonts w:ascii="Arial" w:hAnsi="Arial" w:cs="Arial"/>
          <w:b/>
          <w:bCs/>
        </w:rPr>
        <w:tab/>
      </w:r>
      <w:r w:rsidRPr="00435F1E">
        <w:rPr>
          <w:rFonts w:ascii="Arial" w:hAnsi="Arial" w:cs="Arial"/>
          <w:b/>
          <w:bCs/>
        </w:rPr>
        <w:tab/>
      </w:r>
      <w:r>
        <w:rPr>
          <w:rFonts w:ascii="Arial" w:hAnsi="Arial" w:cs="Arial"/>
          <w:b/>
          <w:bCs/>
        </w:rPr>
        <w:tab/>
      </w:r>
      <w:r w:rsidRPr="00DC3C43">
        <w:rPr>
          <w:rFonts w:ascii="Arial" w:hAnsi="Arial" w:cs="Arial"/>
          <w:b/>
          <w:bCs/>
        </w:rPr>
        <w:t>R1-211</w:t>
      </w:r>
      <w:r w:rsidR="00DC3C43">
        <w:rPr>
          <w:rFonts w:ascii="Arial" w:hAnsi="Arial" w:cs="Arial"/>
          <w:b/>
          <w:bCs/>
        </w:rPr>
        <w:t>1873</w:t>
      </w:r>
    </w:p>
    <w:p w14:paraId="3D813F89" w14:textId="77777777" w:rsidR="00CE2B74" w:rsidRPr="00210D4C" w:rsidRDefault="00CE2B74" w:rsidP="00CE2B7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November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62F44E0" w14:textId="77777777" w:rsidR="00B77CEA" w:rsidRDefault="00B77CEA" w:rsidP="00311702">
      <w:pPr>
        <w:pStyle w:val="3GPPHeader"/>
      </w:pPr>
    </w:p>
    <w:p w14:paraId="5FB7E722" w14:textId="5B70EC8A"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3B68CE0F" w:rsidR="00531215" w:rsidRPr="00764EBC" w:rsidRDefault="003D3C45" w:rsidP="00311702">
      <w:pPr>
        <w:pStyle w:val="3GPPHeader"/>
      </w:pPr>
      <w:r w:rsidRPr="00764EBC">
        <w:t>Title:</w:t>
      </w:r>
      <w:r w:rsidR="00E90E49" w:rsidRPr="00764EBC">
        <w:tab/>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2B084E60"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rsidR="005B41E8">
        <w:t>[1]</w:t>
      </w:r>
      <w:r>
        <w:fldChar w:fldCharType="end"/>
      </w:r>
      <w:r>
        <w:t xml:space="preserve">, a list of RAN1 topics </w:t>
      </w:r>
      <w:r w:rsidR="0008668D">
        <w:t>is</w:t>
      </w:r>
      <w:r>
        <w:t xml:space="preserve"> to be specified if beneficial and needed. This includes enhancement on </w:t>
      </w:r>
      <w:r w:rsidR="002B6BB1">
        <w:t>polarization</w:t>
      </w:r>
      <w:r>
        <w:t xml:space="preserve">, beam management and BWP operation for NTN with frequency reuse. </w:t>
      </w:r>
    </w:p>
    <w:p w14:paraId="37BB5C96" w14:textId="77777777" w:rsidR="00395FA6" w:rsidRDefault="00395FA6" w:rsidP="0099637F">
      <w:pPr>
        <w:jc w:val="both"/>
      </w:pPr>
    </w:p>
    <w:p w14:paraId="272AE2DD" w14:textId="2B9A1A64" w:rsidR="0099637F" w:rsidRDefault="00395FA6" w:rsidP="0099637F">
      <w:pPr>
        <w:jc w:val="both"/>
      </w:pPr>
      <w:r>
        <w:t>The discussions on these topics in RAN1 #10</w:t>
      </w:r>
      <w:r w:rsidR="00F84CDE">
        <w:t>6</w:t>
      </w:r>
      <w:r w:rsidR="00D618CD">
        <w:t>b</w:t>
      </w:r>
      <w:r>
        <w:t>-e meeting were summarized in</w:t>
      </w:r>
      <w:r w:rsidR="00870CF0">
        <w:t xml:space="preserve"> </w:t>
      </w:r>
      <w:r w:rsidR="00870CF0">
        <w:fldChar w:fldCharType="begin"/>
      </w:r>
      <w:r w:rsidR="00870CF0">
        <w:instrText xml:space="preserve"> REF _Ref60737901 \r \h </w:instrText>
      </w:r>
      <w:r w:rsidR="00870CF0">
        <w:fldChar w:fldCharType="separate"/>
      </w:r>
      <w:r w:rsidR="005B41E8">
        <w:t>[2]</w:t>
      </w:r>
      <w:r w:rsidR="00870CF0">
        <w:fldChar w:fldCharType="end"/>
      </w:r>
      <w:r>
        <w:t>, and th</w:t>
      </w:r>
      <w:r w:rsidR="0099637F">
        <w:t>e following agreement ha</w:t>
      </w:r>
      <w:r w:rsidR="0008668D">
        <w:t>s</w:t>
      </w:r>
      <w:r w:rsidR="0099637F">
        <w:t xml:space="preserve"> been made in RAN1 </w:t>
      </w:r>
      <w:r>
        <w:t>#10</w:t>
      </w:r>
      <w:r w:rsidR="00F84CDE">
        <w:t>6</w:t>
      </w:r>
      <w:r w:rsidR="00D618CD">
        <w:t>b</w:t>
      </w:r>
      <w:r>
        <w:t xml:space="preserve">-e </w:t>
      </w:r>
      <w:r w:rsidR="0099637F">
        <w:t xml:space="preserve">meeting </w:t>
      </w:r>
      <w:r w:rsidR="0099637F">
        <w:fldChar w:fldCharType="begin"/>
      </w:r>
      <w:r w:rsidR="0099637F">
        <w:instrText xml:space="preserve"> REF _Ref49784738 \r \h </w:instrText>
      </w:r>
      <w:r w:rsidR="0099637F">
        <w:fldChar w:fldCharType="separate"/>
      </w:r>
      <w:r w:rsidR="005B41E8">
        <w:t>[3]</w:t>
      </w:r>
      <w:r w:rsidR="0099637F">
        <w:fldChar w:fldCharType="end"/>
      </w:r>
      <w:r>
        <w:t xml:space="preserve">. </w:t>
      </w:r>
    </w:p>
    <w:p w14:paraId="58B4B259" w14:textId="77777777" w:rsidR="0099637F" w:rsidRDefault="0099637F" w:rsidP="00B42AE4">
      <w:pPr>
        <w:jc w:val="both"/>
      </w:pPr>
    </w:p>
    <w:p w14:paraId="5E03A30B" w14:textId="77777777" w:rsidR="00CE2B74" w:rsidRDefault="00CE2B74" w:rsidP="00CE2B74">
      <w:pPr>
        <w:rPr>
          <w:lang w:eastAsia="x-none"/>
        </w:rPr>
      </w:pPr>
      <w:r w:rsidRPr="009E55E8">
        <w:rPr>
          <w:highlight w:val="green"/>
          <w:lang w:eastAsia="x-none"/>
        </w:rPr>
        <w:t>Agreement:</w:t>
      </w:r>
    </w:p>
    <w:p w14:paraId="4C92D81A" w14:textId="77777777" w:rsidR="00CE2B74" w:rsidRDefault="00CE2B74" w:rsidP="00CE2B74">
      <w:pPr>
        <w:rPr>
          <w:lang w:eastAsia="x-none"/>
        </w:rPr>
      </w:pPr>
      <w:r w:rsidRPr="00F91DEB">
        <w:rPr>
          <w:lang w:eastAsia="x-none"/>
        </w:rPr>
        <w:t>Support polarization signal</w:t>
      </w:r>
      <w:r>
        <w:rPr>
          <w:lang w:eastAsia="x-none"/>
        </w:rPr>
        <w:t>l</w:t>
      </w:r>
      <w:r w:rsidRPr="00F91DEB">
        <w:rPr>
          <w:lang w:eastAsia="x-none"/>
        </w:rPr>
        <w:t>ing for target serving cell in handover command message.</w:t>
      </w:r>
    </w:p>
    <w:p w14:paraId="387947FE" w14:textId="77777777" w:rsidR="00CE2B74" w:rsidRDefault="00CE2B74" w:rsidP="00CE2B74">
      <w:pPr>
        <w:rPr>
          <w:lang w:eastAsia="x-none"/>
        </w:rPr>
      </w:pPr>
    </w:p>
    <w:p w14:paraId="1FCBC05B" w14:textId="77777777" w:rsidR="00CE2B74" w:rsidRDefault="00CE2B74" w:rsidP="00CE2B74">
      <w:pPr>
        <w:rPr>
          <w:lang w:eastAsia="x-none"/>
        </w:rPr>
      </w:pPr>
      <w:r w:rsidRPr="009E55E8">
        <w:rPr>
          <w:highlight w:val="green"/>
          <w:lang w:eastAsia="x-none"/>
        </w:rPr>
        <w:t>Agreement:</w:t>
      </w:r>
    </w:p>
    <w:p w14:paraId="669F17CE" w14:textId="77777777" w:rsidR="00CE2B74" w:rsidRPr="004059D6" w:rsidRDefault="00CE2B74" w:rsidP="00CE2B74">
      <w:pPr>
        <w:rPr>
          <w:lang w:eastAsia="x-none"/>
        </w:rPr>
      </w:pPr>
      <w:r w:rsidRPr="009E55E8">
        <w:rPr>
          <w:lang w:eastAsia="x-none"/>
        </w:rPr>
        <w:t>Support polarization signal</w:t>
      </w:r>
      <w:r>
        <w:rPr>
          <w:lang w:eastAsia="x-none"/>
        </w:rPr>
        <w:t>l</w:t>
      </w:r>
      <w:r w:rsidRPr="009E55E8">
        <w:rPr>
          <w:lang w:eastAsia="x-none"/>
        </w:rPr>
        <w:t>ing for non-serving cell in RRM measurement configuration.</w:t>
      </w:r>
    </w:p>
    <w:p w14:paraId="30672A21" w14:textId="6AB6225D" w:rsidR="00EC0D2F" w:rsidRPr="00E75532" w:rsidRDefault="00EC0D2F" w:rsidP="00416D56">
      <w:pPr>
        <w:jc w:val="both"/>
        <w:rPr>
          <w:szCs w:val="20"/>
        </w:rPr>
      </w:pPr>
    </w:p>
    <w:p w14:paraId="05E5CF06" w14:textId="5D186A21" w:rsidR="001E7281" w:rsidRPr="009C0798" w:rsidRDefault="00EC0D2F" w:rsidP="009C0798">
      <w:pPr>
        <w:spacing w:after="180"/>
        <w:contextualSpacing/>
        <w:jc w:val="both"/>
        <w:rPr>
          <w:szCs w:val="20"/>
        </w:rPr>
      </w:pPr>
      <w:r w:rsidRPr="007367B4">
        <w:rPr>
          <w:szCs w:val="20"/>
        </w:rPr>
        <w:t xml:space="preserve">In this contribution, we </w:t>
      </w:r>
      <w:r w:rsidR="009C0798" w:rsidRPr="007367B4">
        <w:rPr>
          <w:szCs w:val="20"/>
        </w:rPr>
        <w:t>provide our views on</w:t>
      </w:r>
      <w:r w:rsidR="0099637F" w:rsidRPr="007367B4">
        <w:rPr>
          <w:szCs w:val="20"/>
        </w:rPr>
        <w:t xml:space="preserve"> </w:t>
      </w:r>
      <w:r w:rsidR="004544A0" w:rsidRPr="007367B4">
        <w:rPr>
          <w:szCs w:val="20"/>
        </w:rPr>
        <w:t xml:space="preserve">the </w:t>
      </w:r>
      <w:r w:rsidR="00CE2B74" w:rsidRPr="007367B4">
        <w:rPr>
          <w:szCs w:val="20"/>
        </w:rPr>
        <w:t xml:space="preserve">remaining issues </w:t>
      </w:r>
      <w:r w:rsidR="007367B4" w:rsidRPr="007367B4">
        <w:rPr>
          <w:szCs w:val="20"/>
        </w:rPr>
        <w:t>on</w:t>
      </w:r>
      <w:r w:rsidR="00F7060A" w:rsidRPr="007367B4">
        <w:rPr>
          <w:szCs w:val="20"/>
        </w:rPr>
        <w:t xml:space="preserve"> signaling of polarization information</w:t>
      </w:r>
      <w:r w:rsidRPr="007367B4">
        <w:rPr>
          <w:szCs w:val="20"/>
        </w:rPr>
        <w:t>.</w:t>
      </w:r>
    </w:p>
    <w:p w14:paraId="54934CE9" w14:textId="6892D6A2" w:rsidR="00BF47BE" w:rsidRPr="005B41E8" w:rsidRDefault="00EA5A5B" w:rsidP="005B41E8">
      <w:pPr>
        <w:pStyle w:val="Heading1"/>
      </w:pPr>
      <w:r>
        <w:t>Discussion</w:t>
      </w:r>
    </w:p>
    <w:p w14:paraId="6BA2F929" w14:textId="36D35031" w:rsidR="00281A37" w:rsidRDefault="00281A37" w:rsidP="0013219E">
      <w:pPr>
        <w:jc w:val="both"/>
        <w:rPr>
          <w:iCs/>
        </w:rPr>
      </w:pPr>
      <w:r>
        <w:rPr>
          <w:iCs/>
        </w:rPr>
        <w:t xml:space="preserve">The </w:t>
      </w:r>
      <w:r w:rsidR="00530B39">
        <w:rPr>
          <w:iCs/>
        </w:rPr>
        <w:t xml:space="preserve">antenna </w:t>
      </w:r>
      <w:r>
        <w:rPr>
          <w:iCs/>
        </w:rPr>
        <w:t xml:space="preserve">polarization used in NTN includes right hand circular polarization (RHCP), left hand circular polarization (LHCP) and linear polarization. A UE with linear polarization </w:t>
      </w:r>
      <w:r w:rsidR="00530B39">
        <w:rPr>
          <w:iCs/>
        </w:rPr>
        <w:t xml:space="preserve">antenna has 3 dB polarization loss when receiving a circular polarized signal. A UE with RHCP antenna cannot receive a LHCP signal, and vice versa. </w:t>
      </w:r>
    </w:p>
    <w:p w14:paraId="62C3B49F" w14:textId="77777777" w:rsidR="00281A37" w:rsidRDefault="00281A37" w:rsidP="0013219E">
      <w:pPr>
        <w:jc w:val="both"/>
        <w:rPr>
          <w:iCs/>
        </w:rPr>
      </w:pPr>
    </w:p>
    <w:p w14:paraId="1DB50E62" w14:textId="005995B3" w:rsidR="00E6343E" w:rsidRDefault="00281A37" w:rsidP="005414DE">
      <w:pPr>
        <w:jc w:val="both"/>
        <w:rPr>
          <w:iCs/>
        </w:rPr>
      </w:pPr>
      <w:r>
        <w:rPr>
          <w:iCs/>
        </w:rPr>
        <w:t xml:space="preserve">It was agreed </w:t>
      </w:r>
      <w:r w:rsidR="005414DE">
        <w:rPr>
          <w:iCs/>
        </w:rPr>
        <w:fldChar w:fldCharType="begin"/>
      </w:r>
      <w:r w:rsidR="005414DE">
        <w:rPr>
          <w:iCs/>
        </w:rPr>
        <w:instrText xml:space="preserve"> REF _Ref83643622 \r \h </w:instrText>
      </w:r>
      <w:r w:rsidR="005414DE">
        <w:rPr>
          <w:iCs/>
        </w:rPr>
      </w:r>
      <w:r w:rsidR="005414DE">
        <w:rPr>
          <w:iCs/>
        </w:rPr>
        <w:fldChar w:fldCharType="separate"/>
      </w:r>
      <w:r w:rsidR="005B41E8">
        <w:rPr>
          <w:iCs/>
        </w:rPr>
        <w:t>[4]</w:t>
      </w:r>
      <w:r w:rsidR="005414DE">
        <w:rPr>
          <w:iCs/>
        </w:rPr>
        <w:fldChar w:fldCharType="end"/>
      </w:r>
      <w:r>
        <w:rPr>
          <w:iCs/>
        </w:rPr>
        <w:t xml:space="preserve"> to support explicit indication of polarization information for </w:t>
      </w:r>
      <w:r w:rsidR="00E6343E">
        <w:rPr>
          <w:iCs/>
        </w:rPr>
        <w:t>downlink</w:t>
      </w:r>
      <w:r>
        <w:rPr>
          <w:iCs/>
        </w:rPr>
        <w:t xml:space="preserve"> by the network. </w:t>
      </w:r>
      <w:r w:rsidR="00E6343E">
        <w:rPr>
          <w:iCs/>
        </w:rPr>
        <w:t>It was agreed</w:t>
      </w:r>
      <w:r w:rsidR="0003116C">
        <w:rPr>
          <w:iCs/>
        </w:rPr>
        <w:t xml:space="preserve"> </w:t>
      </w:r>
      <w:r w:rsidR="005414DE">
        <w:rPr>
          <w:iCs/>
        </w:rPr>
        <w:fldChar w:fldCharType="begin"/>
      </w:r>
      <w:r w:rsidR="005414DE">
        <w:rPr>
          <w:iCs/>
        </w:rPr>
        <w:instrText xml:space="preserve"> REF _Ref78988633 \r \h </w:instrText>
      </w:r>
      <w:r w:rsidR="005414DE">
        <w:rPr>
          <w:iCs/>
        </w:rPr>
      </w:r>
      <w:r w:rsidR="005414DE">
        <w:rPr>
          <w:iCs/>
        </w:rPr>
        <w:fldChar w:fldCharType="separate"/>
      </w:r>
      <w:r w:rsidR="005B41E8">
        <w:rPr>
          <w:iCs/>
        </w:rPr>
        <w:t>[5]</w:t>
      </w:r>
      <w:r w:rsidR="005414DE">
        <w:rPr>
          <w:iCs/>
        </w:rPr>
        <w:fldChar w:fldCharType="end"/>
      </w:r>
      <w:r w:rsidR="00E6343E">
        <w:rPr>
          <w:iCs/>
        </w:rPr>
        <w:t xml:space="preserve"> that the polarization information for downlink and the polarization information for uplink are indicated in SIB. </w:t>
      </w:r>
      <w:r w:rsidR="005414DE">
        <w:rPr>
          <w:iCs/>
        </w:rPr>
        <w:t xml:space="preserve">It was further agreed </w:t>
      </w:r>
      <w:r w:rsidR="005B41E8">
        <w:rPr>
          <w:iCs/>
        </w:rPr>
        <w:fldChar w:fldCharType="begin"/>
      </w:r>
      <w:r w:rsidR="005B41E8">
        <w:rPr>
          <w:iCs/>
        </w:rPr>
        <w:instrText xml:space="preserve"> REF _Ref86226735 \r \h </w:instrText>
      </w:r>
      <w:r w:rsidR="005B41E8">
        <w:rPr>
          <w:iCs/>
        </w:rPr>
      </w:r>
      <w:r w:rsidR="005B41E8">
        <w:rPr>
          <w:iCs/>
        </w:rPr>
        <w:fldChar w:fldCharType="separate"/>
      </w:r>
      <w:r w:rsidR="005B41E8">
        <w:rPr>
          <w:iCs/>
        </w:rPr>
        <w:t>[6]</w:t>
      </w:r>
      <w:r w:rsidR="005B41E8">
        <w:rPr>
          <w:iCs/>
        </w:rPr>
        <w:fldChar w:fldCharType="end"/>
      </w:r>
      <w:r w:rsidR="00F5589D">
        <w:rPr>
          <w:iCs/>
        </w:rPr>
        <w:t xml:space="preserve"> </w:t>
      </w:r>
      <w:r w:rsidR="005414DE">
        <w:rPr>
          <w:iCs/>
        </w:rPr>
        <w:t xml:space="preserve">that SIB indicates downlink and/or uplink polarization information using respective polarization type parameters to indicate RHCP, LHCP or linear. It is open whether polarization signaling is per SSB. </w:t>
      </w:r>
    </w:p>
    <w:p w14:paraId="017557F2" w14:textId="77777777" w:rsidR="00E6343E" w:rsidRDefault="00E6343E" w:rsidP="0013219E">
      <w:pPr>
        <w:jc w:val="both"/>
        <w:rPr>
          <w:iCs/>
        </w:rPr>
      </w:pPr>
    </w:p>
    <w:p w14:paraId="6ABD94A9" w14:textId="77777777" w:rsidR="005B41E8" w:rsidRDefault="00281A37" w:rsidP="0013219E">
      <w:pPr>
        <w:jc w:val="both"/>
        <w:rPr>
          <w:iCs/>
        </w:rPr>
      </w:pPr>
      <w:r>
        <w:rPr>
          <w:iCs/>
        </w:rPr>
        <w:t>There are two potential deployment scenarios related to polarization</w:t>
      </w:r>
      <w:r w:rsidR="007633DE">
        <w:rPr>
          <w:iCs/>
        </w:rPr>
        <w:t xml:space="preserve">, </w:t>
      </w:r>
      <w:r>
        <w:rPr>
          <w:iCs/>
        </w:rPr>
        <w:t>i.e., inter-beam interference mitigation and polarization multiplexing.</w:t>
      </w:r>
      <w:r w:rsidR="00AF2A20">
        <w:rPr>
          <w:iCs/>
        </w:rPr>
        <w:t xml:space="preserve"> I</w:t>
      </w:r>
      <w:r>
        <w:rPr>
          <w:iCs/>
        </w:rPr>
        <w:t xml:space="preserve">n </w:t>
      </w:r>
      <w:r w:rsidR="00530B39">
        <w:rPr>
          <w:iCs/>
        </w:rPr>
        <w:t>the first deployment scenario</w:t>
      </w:r>
      <w:r w:rsidR="00D819E8">
        <w:rPr>
          <w:iCs/>
        </w:rPr>
        <w:t xml:space="preserve"> (so called inter-beam interference mitigation)</w:t>
      </w:r>
      <w:r>
        <w:rPr>
          <w:iCs/>
        </w:rPr>
        <w:t>, neighbor satellite beams may use different polarization</w:t>
      </w:r>
      <w:r w:rsidR="00530B39">
        <w:rPr>
          <w:iCs/>
        </w:rPr>
        <w:t xml:space="preserve"> to mitigate the inter-beam interference to increase system throughput.</w:t>
      </w:r>
      <w:r w:rsidR="00AF2A20">
        <w:rPr>
          <w:iCs/>
        </w:rPr>
        <w:t xml:space="preserve"> </w:t>
      </w:r>
      <w:r w:rsidR="00530B39">
        <w:rPr>
          <w:iCs/>
        </w:rPr>
        <w:t xml:space="preserve">This polarization-based inter-beam interference mitigation can be jointly </w:t>
      </w:r>
      <w:r w:rsidR="006F64BA">
        <w:rPr>
          <w:iCs/>
        </w:rPr>
        <w:t>deployed</w:t>
      </w:r>
      <w:r w:rsidR="00530B39">
        <w:rPr>
          <w:iCs/>
        </w:rPr>
        <w:t xml:space="preserve"> with frequency reuse</w:t>
      </w:r>
      <w:r w:rsidR="00D819E8">
        <w:rPr>
          <w:iCs/>
        </w:rPr>
        <w:t xml:space="preserve"> to further increase the reuse factor.</w:t>
      </w:r>
      <w:r w:rsidR="00AF2A20">
        <w:rPr>
          <w:iCs/>
        </w:rPr>
        <w:t xml:space="preserve"> </w:t>
      </w:r>
    </w:p>
    <w:p w14:paraId="559F66DF" w14:textId="77777777" w:rsidR="005B41E8" w:rsidRDefault="005B41E8" w:rsidP="0013219E">
      <w:pPr>
        <w:jc w:val="both"/>
        <w:rPr>
          <w:iCs/>
        </w:rPr>
      </w:pPr>
    </w:p>
    <w:p w14:paraId="1FCE57F1" w14:textId="5ADF01B5" w:rsidR="00D819E8" w:rsidRDefault="00D819E8" w:rsidP="0013219E">
      <w:pPr>
        <w:jc w:val="both"/>
        <w:rPr>
          <w:iCs/>
        </w:rPr>
      </w:pPr>
      <w:r>
        <w:rPr>
          <w:iCs/>
        </w:rPr>
        <w:t xml:space="preserve">In the second deployment scenario (so called polarization multiplexing), gNB could use the same time and frequency resource to serve two UEs by using different or opposite polarizations (e.g., </w:t>
      </w:r>
      <w:r>
        <w:rPr>
          <w:iCs/>
        </w:rPr>
        <w:lastRenderedPageBreak/>
        <w:t xml:space="preserve">RHCP and LHCP). Due to the orthogonality between two polarizations, there is no interference between </w:t>
      </w:r>
      <w:r w:rsidR="00F67ABA">
        <w:rPr>
          <w:iCs/>
        </w:rPr>
        <w:t>these two UEs’ signal receptions</w:t>
      </w:r>
      <w:r>
        <w:rPr>
          <w:iCs/>
        </w:rPr>
        <w:t>.</w:t>
      </w:r>
      <w:r w:rsidR="005B41E8">
        <w:rPr>
          <w:iCs/>
        </w:rPr>
        <w:t xml:space="preserve"> The polarization multiplexing includes intra-UE polarization multiplexing and inter-UE polarization multiplexing.</w:t>
      </w:r>
      <w:r w:rsidR="007367B4">
        <w:rPr>
          <w:iCs/>
        </w:rPr>
        <w:t xml:space="preserve"> </w:t>
      </w:r>
      <w:r w:rsidR="005B41E8">
        <w:rPr>
          <w:iCs/>
        </w:rPr>
        <w:t xml:space="preserve">The intra-UE polarization multiplexing requires UE to have the capability of dynamic switching its polarization, which is not feasible for majority of UEs, especially smart phones. Hence, we do not think it is necessary to support intra-UE polarization multiplexing. To avoid interference in inter-UE polarization multiplexing, two UEs being scheduled </w:t>
      </w:r>
      <w:r w:rsidR="007367B4">
        <w:rPr>
          <w:iCs/>
        </w:rPr>
        <w:t>with</w:t>
      </w:r>
      <w:r w:rsidR="005B41E8">
        <w:rPr>
          <w:iCs/>
        </w:rPr>
        <w:t xml:space="preserve"> the same time-frequency resource should have RHCP and LHCP</w:t>
      </w:r>
      <w:r w:rsidR="007367B4">
        <w:rPr>
          <w:iCs/>
        </w:rPr>
        <w:t xml:space="preserve">, respectively. This implies UEs supporting only linear polarization cannot be scheduled in inter-UE polarization multiplexing. Considering majority of UEs support only linear polarization, we do not think it is necessary to support inter-UE polarization multiplexing as well. </w:t>
      </w:r>
    </w:p>
    <w:p w14:paraId="23DD5E84" w14:textId="1AC51CEE" w:rsidR="00281A37" w:rsidRDefault="00281A37" w:rsidP="0013219E">
      <w:pPr>
        <w:jc w:val="both"/>
        <w:rPr>
          <w:iCs/>
        </w:rPr>
      </w:pPr>
    </w:p>
    <w:p w14:paraId="65A992F0" w14:textId="4EF447B8" w:rsidR="003A4FBA" w:rsidRDefault="00AF2A20" w:rsidP="0013219E">
      <w:pPr>
        <w:jc w:val="both"/>
        <w:rPr>
          <w:iCs/>
        </w:rPr>
      </w:pPr>
      <w:r>
        <w:rPr>
          <w:iCs/>
        </w:rPr>
        <w:t xml:space="preserve">Since the </w:t>
      </w:r>
      <w:r w:rsidR="00FC3B35">
        <w:rPr>
          <w:iCs/>
        </w:rPr>
        <w:t xml:space="preserve">downlink </w:t>
      </w:r>
      <w:r>
        <w:rPr>
          <w:iCs/>
        </w:rPr>
        <w:t>polarization information is indicated in SIB, it is natural the first deployment scenario is supported</w:t>
      </w:r>
      <w:r w:rsidR="003A4FBA">
        <w:rPr>
          <w:iCs/>
        </w:rPr>
        <w:t>.</w:t>
      </w:r>
      <w:r>
        <w:rPr>
          <w:iCs/>
        </w:rPr>
        <w:t xml:space="preserve"> </w:t>
      </w:r>
      <w:r w:rsidR="003A4FBA">
        <w:rPr>
          <w:iCs/>
        </w:rPr>
        <w:t>In the first deployment scenario, since the downlink</w:t>
      </w:r>
      <w:r w:rsidR="00FC3B35">
        <w:rPr>
          <w:iCs/>
        </w:rPr>
        <w:t xml:space="preserve"> </w:t>
      </w:r>
      <w:r w:rsidR="003A4FBA">
        <w:rPr>
          <w:iCs/>
        </w:rPr>
        <w:t>polarization could further increase the reuse factor among neighbor beams, it is reasonable to indicate the downlink</w:t>
      </w:r>
      <w:r w:rsidR="00FC3B35">
        <w:rPr>
          <w:iCs/>
        </w:rPr>
        <w:t xml:space="preserve"> </w:t>
      </w:r>
      <w:r w:rsidR="003A4FBA">
        <w:rPr>
          <w:iCs/>
        </w:rPr>
        <w:t xml:space="preserve">polarization per SSB in SIB. </w:t>
      </w:r>
    </w:p>
    <w:p w14:paraId="6CA0167D" w14:textId="548BB783" w:rsidR="003A4FBA" w:rsidRDefault="003A4FBA" w:rsidP="0013219E">
      <w:pPr>
        <w:jc w:val="both"/>
        <w:rPr>
          <w:iCs/>
        </w:rPr>
      </w:pPr>
    </w:p>
    <w:p w14:paraId="2A0282C0" w14:textId="6CB95A63" w:rsidR="003A4FBA" w:rsidRDefault="003A4FBA" w:rsidP="003A4FBA">
      <w:pPr>
        <w:jc w:val="both"/>
        <w:rPr>
          <w:i/>
        </w:rPr>
      </w:pPr>
      <w:r w:rsidRPr="001C381A">
        <w:rPr>
          <w:b/>
          <w:i/>
          <w:u w:val="single"/>
        </w:rPr>
        <w:t xml:space="preserve">Proposal </w:t>
      </w:r>
      <w:r w:rsidR="005B41E8">
        <w:rPr>
          <w:b/>
          <w:i/>
          <w:u w:val="single"/>
        </w:rPr>
        <w:t>1</w:t>
      </w:r>
      <w:r w:rsidRPr="001C381A">
        <w:rPr>
          <w:b/>
          <w:i/>
          <w:u w:val="single"/>
        </w:rPr>
        <w:t>:</w:t>
      </w:r>
      <w:r>
        <w:rPr>
          <w:i/>
        </w:rPr>
        <w:t xml:space="preserve"> The </w:t>
      </w:r>
      <w:r w:rsidR="00FC3B35">
        <w:rPr>
          <w:i/>
        </w:rPr>
        <w:t xml:space="preserve">downlink </w:t>
      </w:r>
      <w:r>
        <w:rPr>
          <w:i/>
        </w:rPr>
        <w:t>polarization</w:t>
      </w:r>
      <w:r w:rsidR="00FC3B35">
        <w:rPr>
          <w:i/>
        </w:rPr>
        <w:t xml:space="preserve"> signaling in SIB is</w:t>
      </w:r>
      <w:r>
        <w:rPr>
          <w:i/>
        </w:rPr>
        <w:t xml:space="preserve"> per SSB. </w:t>
      </w:r>
    </w:p>
    <w:p w14:paraId="0F0C1168" w14:textId="5D047D13" w:rsidR="003A4FBA" w:rsidRDefault="003A4FBA" w:rsidP="0013219E">
      <w:pPr>
        <w:jc w:val="both"/>
        <w:rPr>
          <w:iCs/>
        </w:rPr>
      </w:pPr>
    </w:p>
    <w:p w14:paraId="103F27E2" w14:textId="3147F5E7" w:rsidR="003A4FBA" w:rsidRDefault="003A4FBA" w:rsidP="0013219E">
      <w:pPr>
        <w:jc w:val="both"/>
        <w:rPr>
          <w:iCs/>
        </w:rPr>
      </w:pPr>
      <w:r>
        <w:rPr>
          <w:iCs/>
        </w:rPr>
        <w:t xml:space="preserve">Both downlink and uplink polarization information are indicated in SIB. Hence, it is expected that this information is not dynamically changed. In this sense, the motivation of UE reporting its polarization capability is unclear, since network polarization configuration is per </w:t>
      </w:r>
      <w:r w:rsidR="007367B4">
        <w:rPr>
          <w:iCs/>
        </w:rPr>
        <w:t>SSB</w:t>
      </w:r>
      <w:r>
        <w:rPr>
          <w:iCs/>
        </w:rPr>
        <w:t xml:space="preserve"> and does not change with UEs’ polarization capability.</w:t>
      </w:r>
      <w:r w:rsidR="009567A3">
        <w:rPr>
          <w:iCs/>
        </w:rPr>
        <w:t xml:space="preserve"> </w:t>
      </w:r>
    </w:p>
    <w:p w14:paraId="2DF196EA" w14:textId="562960C5" w:rsidR="008069FE" w:rsidRDefault="008069FE" w:rsidP="0013219E">
      <w:pPr>
        <w:jc w:val="both"/>
        <w:rPr>
          <w:iCs/>
        </w:rPr>
      </w:pPr>
    </w:p>
    <w:p w14:paraId="7C570831" w14:textId="6BF3E8B8" w:rsidR="00BB46FF" w:rsidRDefault="00BB46FF" w:rsidP="0013219E">
      <w:pPr>
        <w:jc w:val="both"/>
        <w:rPr>
          <w:iCs/>
        </w:rPr>
      </w:pPr>
      <w:r w:rsidRPr="001C381A">
        <w:rPr>
          <w:b/>
          <w:i/>
          <w:u w:val="single"/>
        </w:rPr>
        <w:t xml:space="preserve">Proposal </w:t>
      </w:r>
      <w:r w:rsidR="005B41E8">
        <w:rPr>
          <w:b/>
          <w:i/>
          <w:u w:val="single"/>
        </w:rPr>
        <w:t>2</w:t>
      </w:r>
      <w:r w:rsidRPr="001C381A">
        <w:rPr>
          <w:b/>
          <w:i/>
          <w:u w:val="single"/>
        </w:rPr>
        <w:t>:</w:t>
      </w:r>
      <w:r>
        <w:rPr>
          <w:i/>
        </w:rPr>
        <w:t xml:space="preserve"> UE polarization capability reporting is not supported. </w:t>
      </w:r>
    </w:p>
    <w:p w14:paraId="4D3CBFCF" w14:textId="77777777" w:rsidR="00F7060A" w:rsidRPr="00F7060A" w:rsidRDefault="00F7060A" w:rsidP="0013219E">
      <w:pPr>
        <w:jc w:val="both"/>
        <w:rPr>
          <w:i/>
        </w:rPr>
      </w:pPr>
    </w:p>
    <w:p w14:paraId="2896E657" w14:textId="2DF29AD0" w:rsidR="00854A60" w:rsidRPr="00A6576F" w:rsidRDefault="009C5A97" w:rsidP="00FB330B">
      <w:pPr>
        <w:pStyle w:val="Heading1"/>
      </w:pPr>
      <w:r w:rsidRPr="00A6576F">
        <w:t>Conclusion</w:t>
      </w:r>
    </w:p>
    <w:p w14:paraId="1C116919" w14:textId="56A7319B"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w:t>
      </w:r>
      <w:r w:rsidR="00F7060A">
        <w:rPr>
          <w:szCs w:val="20"/>
        </w:rPr>
        <w:t xml:space="preserve">signaling of polarization information </w:t>
      </w:r>
      <w:r w:rsidR="0051475C">
        <w:rPr>
          <w:szCs w:val="20"/>
        </w:rPr>
        <w:t>in NTN</w:t>
      </w:r>
      <w:r w:rsidR="009C0798">
        <w:rPr>
          <w:szCs w:val="20"/>
        </w:rPr>
        <w:t xml:space="preserve">. </w:t>
      </w:r>
      <w:r w:rsidR="009C0798">
        <w:t xml:space="preserve">Our proposals are as follows: </w:t>
      </w:r>
    </w:p>
    <w:p w14:paraId="2CA1E690" w14:textId="61860731" w:rsidR="00666A64" w:rsidRDefault="00666A64" w:rsidP="00325905">
      <w:pPr>
        <w:jc w:val="both"/>
        <w:rPr>
          <w:bCs/>
          <w:iCs/>
        </w:rPr>
      </w:pPr>
    </w:p>
    <w:p w14:paraId="019D41C8" w14:textId="5C0D3182" w:rsidR="00FC3B35" w:rsidRDefault="00FC3B35" w:rsidP="00FC3B35">
      <w:pPr>
        <w:jc w:val="both"/>
        <w:rPr>
          <w:i/>
        </w:rPr>
      </w:pPr>
      <w:r w:rsidRPr="001C381A">
        <w:rPr>
          <w:b/>
          <w:i/>
          <w:u w:val="single"/>
        </w:rPr>
        <w:t xml:space="preserve">Proposal </w:t>
      </w:r>
      <w:r w:rsidR="007367B4">
        <w:rPr>
          <w:b/>
          <w:i/>
          <w:u w:val="single"/>
        </w:rPr>
        <w:t>1</w:t>
      </w:r>
      <w:r w:rsidRPr="001C381A">
        <w:rPr>
          <w:b/>
          <w:i/>
          <w:u w:val="single"/>
        </w:rPr>
        <w:t>:</w:t>
      </w:r>
      <w:r>
        <w:rPr>
          <w:i/>
        </w:rPr>
        <w:t xml:space="preserve"> The downlink polarization signaling in SIB is per SSB. </w:t>
      </w:r>
    </w:p>
    <w:p w14:paraId="6DCEDE35" w14:textId="01118812" w:rsidR="00666A64" w:rsidRDefault="00666A64" w:rsidP="00325905">
      <w:pPr>
        <w:jc w:val="both"/>
        <w:rPr>
          <w:bCs/>
          <w:iCs/>
        </w:rPr>
      </w:pPr>
    </w:p>
    <w:p w14:paraId="189DD01E" w14:textId="57619BEA" w:rsidR="00666A64" w:rsidRDefault="00666A64" w:rsidP="00325905">
      <w:pPr>
        <w:jc w:val="both"/>
        <w:rPr>
          <w:i/>
        </w:rPr>
      </w:pPr>
      <w:r w:rsidRPr="001C381A">
        <w:rPr>
          <w:b/>
          <w:i/>
          <w:u w:val="single"/>
        </w:rPr>
        <w:t xml:space="preserve">Proposal </w:t>
      </w:r>
      <w:r w:rsidR="007367B4">
        <w:rPr>
          <w:b/>
          <w:i/>
          <w:u w:val="single"/>
        </w:rPr>
        <w:t>2</w:t>
      </w:r>
      <w:r w:rsidRPr="001C381A">
        <w:rPr>
          <w:b/>
          <w:i/>
          <w:u w:val="single"/>
        </w:rPr>
        <w:t>:</w:t>
      </w:r>
      <w:r>
        <w:rPr>
          <w:i/>
        </w:rPr>
        <w:t xml:space="preserve"> UE polarization capability reporting is not supported.</w:t>
      </w:r>
    </w:p>
    <w:p w14:paraId="32617852" w14:textId="77777777" w:rsidR="00666A64" w:rsidRPr="00BA1F59" w:rsidRDefault="00666A64" w:rsidP="00325905">
      <w:pPr>
        <w:jc w:val="both"/>
        <w:rPr>
          <w:bCs/>
          <w:iCs/>
        </w:rPr>
      </w:pPr>
    </w:p>
    <w:p w14:paraId="2E75F001" w14:textId="77777777" w:rsidR="007E70BB" w:rsidRPr="00A6576F" w:rsidRDefault="005C63AE" w:rsidP="007E70BB">
      <w:pPr>
        <w:pStyle w:val="Heading1"/>
      </w:pPr>
      <w:r w:rsidRPr="00A6576F">
        <w:t>References</w:t>
      </w:r>
    </w:p>
    <w:p w14:paraId="7D1E381A" w14:textId="4131C178"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519541"/>
      <w:bookmarkStart w:id="3" w:name="_Ref46861948"/>
      <w:bookmarkStart w:id="4" w:name="_Ref30499280"/>
      <w:r>
        <w:t>RP-</w:t>
      </w:r>
      <w:r w:rsidR="00E6343E">
        <w:t>211557</w:t>
      </w:r>
      <w:r>
        <w:t xml:space="preserve">, </w:t>
      </w:r>
      <w:r w:rsidR="00F66E48">
        <w:t>“</w:t>
      </w:r>
      <w:r>
        <w:t>Solutions for NR to support non-terrestrial networks (NTN),</w:t>
      </w:r>
      <w:r w:rsidR="00F66E48">
        <w:t>”</w:t>
      </w:r>
      <w:r>
        <w:t xml:space="preserve"> </w:t>
      </w:r>
      <w:r w:rsidR="002A4F9C">
        <w:t>Mar</w:t>
      </w:r>
      <w:r>
        <w:t>. 202</w:t>
      </w:r>
      <w:r w:rsidR="002A4F9C">
        <w:t>1</w:t>
      </w:r>
      <w:r>
        <w:t>.</w:t>
      </w:r>
      <w:bookmarkEnd w:id="0"/>
      <w:r>
        <w:t xml:space="preserve"> </w:t>
      </w:r>
    </w:p>
    <w:p w14:paraId="605F6B97" w14:textId="639DD837"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737901"/>
      <w:r>
        <w:t>R1-2</w:t>
      </w:r>
      <w:r w:rsidR="00870CF0">
        <w:t>1</w:t>
      </w:r>
      <w:r w:rsidR="00CE2B74">
        <w:t>10570</w:t>
      </w:r>
      <w:r w:rsidRPr="006609D4">
        <w:t>, “</w:t>
      </w:r>
      <w:r w:rsidR="00F84CDE">
        <w:t>S</w:t>
      </w:r>
      <w:r w:rsidRPr="006609D4">
        <w:rPr>
          <w:rFonts w:cs="Arial"/>
        </w:rPr>
        <w:t>ummary</w:t>
      </w:r>
      <w:r w:rsidR="0008668D">
        <w:rPr>
          <w:rFonts w:cs="Arial"/>
        </w:rPr>
        <w:t xml:space="preserve"> </w:t>
      </w:r>
      <w:r w:rsidR="00F84CDE">
        <w:rPr>
          <w:rFonts w:cs="Arial"/>
        </w:rPr>
        <w:t>#</w:t>
      </w:r>
      <w:r w:rsidR="00CE2B74">
        <w:rPr>
          <w:rFonts w:cs="Arial"/>
        </w:rPr>
        <w:t>2</w:t>
      </w:r>
      <w:r w:rsidR="00F84CDE">
        <w:rPr>
          <w:rFonts w:cs="Arial"/>
        </w:rPr>
        <w:t xml:space="preserve"> </w:t>
      </w:r>
      <w:r w:rsidRPr="006609D4">
        <w:rPr>
          <w:rFonts w:cs="Arial"/>
        </w:rPr>
        <w:t xml:space="preserve">of </w:t>
      </w:r>
      <w:r w:rsidR="00CE2B74">
        <w:rPr>
          <w:rFonts w:cs="Arial"/>
        </w:rPr>
        <w:t>the discussions on other enhancements</w:t>
      </w:r>
      <w:r w:rsidRPr="006609D4">
        <w:t xml:space="preserve">,” </w:t>
      </w:r>
      <w:r w:rsidR="00CE2B74">
        <w:t>Oct</w:t>
      </w:r>
      <w:r w:rsidR="00F84CDE">
        <w:t>.</w:t>
      </w:r>
      <w:r w:rsidRPr="006609D4">
        <w:t xml:space="preserve"> 202</w:t>
      </w:r>
      <w:r w:rsidR="00870CF0">
        <w:t>1</w:t>
      </w:r>
      <w:r w:rsidRPr="006609D4">
        <w:t>.</w:t>
      </w:r>
      <w:bookmarkEnd w:id="1"/>
      <w:bookmarkEnd w:id="5"/>
      <w:r>
        <w:t xml:space="preserve">  </w:t>
      </w:r>
    </w:p>
    <w:p w14:paraId="1E5F7151" w14:textId="081E5BDF" w:rsidR="00E6343E" w:rsidRDefault="00E6343E"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78188310"/>
      <w:bookmarkStart w:id="7" w:name="_Ref49784738"/>
      <w:bookmarkStart w:id="8" w:name="_Ref65481526"/>
      <w:r>
        <w:t>Chairman’s Notes, 3GPP TSG RAN1 WG1 #10</w:t>
      </w:r>
      <w:r w:rsidR="00F84CDE">
        <w:t>6</w:t>
      </w:r>
      <w:r w:rsidR="00CE2B74">
        <w:t>b</w:t>
      </w:r>
      <w:r>
        <w:t xml:space="preserve">-e Meeting, </w:t>
      </w:r>
      <w:r w:rsidR="00CE2B74">
        <w:t>Oct</w:t>
      </w:r>
      <w:r w:rsidR="00F84CDE">
        <w:t>.</w:t>
      </w:r>
      <w:r>
        <w:t xml:space="preserve"> 2021.</w:t>
      </w:r>
      <w:bookmarkEnd w:id="6"/>
    </w:p>
    <w:p w14:paraId="66348585" w14:textId="578301C5" w:rsidR="005414DE" w:rsidRDefault="005414DE" w:rsidP="005414D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83643622"/>
      <w:bookmarkStart w:id="10" w:name="_Ref78187501"/>
      <w:r>
        <w:t>Chairman’s Notes, 3GPP TSG RAN1 WG1 #104-e Meeting, Jan. 2021.</w:t>
      </w:r>
      <w:bookmarkEnd w:id="9"/>
    </w:p>
    <w:p w14:paraId="2CF06167" w14:textId="212C6240" w:rsidR="0099637F" w:rsidRDefault="005414DE"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8988633"/>
      <w:r>
        <w:t>C</w:t>
      </w:r>
      <w:r w:rsidR="00870CF0">
        <w:t>hairman’s Notes, 3GPP TSG RAN1 WG1 #10</w:t>
      </w:r>
      <w:r>
        <w:t>5</w:t>
      </w:r>
      <w:r w:rsidR="00870CF0">
        <w:t xml:space="preserve">-e Meeting, </w:t>
      </w:r>
      <w:r>
        <w:t xml:space="preserve">May </w:t>
      </w:r>
      <w:r w:rsidR="00870CF0">
        <w:t>2021.</w:t>
      </w:r>
      <w:bookmarkEnd w:id="2"/>
      <w:bookmarkEnd w:id="3"/>
      <w:bookmarkEnd w:id="4"/>
      <w:bookmarkEnd w:id="7"/>
      <w:bookmarkEnd w:id="8"/>
      <w:bookmarkEnd w:id="10"/>
      <w:bookmarkEnd w:id="11"/>
    </w:p>
    <w:p w14:paraId="3EC1E9AC" w14:textId="3F85C3A8" w:rsidR="005B41E8" w:rsidRDefault="005B41E8" w:rsidP="005B41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6226735"/>
      <w:r>
        <w:t>Chairman’s Notes, 3GPP TSG RAN1 WG1 #106-e Meeting, Aug. 2021.</w:t>
      </w:r>
      <w:bookmarkEnd w:id="12"/>
    </w:p>
    <w:sectPr w:rsidR="005B41E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08D3B" w14:textId="77777777" w:rsidR="00C14E35" w:rsidRDefault="00C14E35">
      <w:r>
        <w:separator/>
      </w:r>
    </w:p>
  </w:endnote>
  <w:endnote w:type="continuationSeparator" w:id="0">
    <w:p w14:paraId="78F010BA" w14:textId="77777777" w:rsidR="00C14E35" w:rsidRDefault="00C14E35">
      <w:r>
        <w:continuationSeparator/>
      </w:r>
    </w:p>
  </w:endnote>
  <w:endnote w:type="continuationNotice" w:id="1">
    <w:p w14:paraId="297E5B48" w14:textId="77777777" w:rsidR="00C14E35" w:rsidRDefault="00C14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9AD29" w14:textId="77777777" w:rsidR="00C14E35" w:rsidRDefault="00C14E35">
      <w:r>
        <w:separator/>
      </w:r>
    </w:p>
  </w:footnote>
  <w:footnote w:type="continuationSeparator" w:id="0">
    <w:p w14:paraId="5B027B50" w14:textId="77777777" w:rsidR="00C14E35" w:rsidRDefault="00C14E35">
      <w:r>
        <w:continuationSeparator/>
      </w:r>
    </w:p>
  </w:footnote>
  <w:footnote w:type="continuationNotice" w:id="1">
    <w:p w14:paraId="3400D65D" w14:textId="77777777" w:rsidR="00C14E35" w:rsidRDefault="00C14E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7580"/>
    <w:multiLevelType w:val="multilevel"/>
    <w:tmpl w:val="F376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1662E06"/>
    <w:multiLevelType w:val="hybridMultilevel"/>
    <w:tmpl w:val="AB28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5"/>
  </w:num>
  <w:num w:numId="8">
    <w:abstractNumId w:val="11"/>
  </w:num>
  <w:num w:numId="9">
    <w:abstractNumId w:val="21"/>
  </w:num>
  <w:num w:numId="10">
    <w:abstractNumId w:val="0"/>
  </w:num>
  <w:num w:numId="11">
    <w:abstractNumId w:val="27"/>
  </w:num>
  <w:num w:numId="12">
    <w:abstractNumId w:val="3"/>
  </w:num>
  <w:num w:numId="13">
    <w:abstractNumId w:val="23"/>
  </w:num>
  <w:num w:numId="14">
    <w:abstractNumId w:val="16"/>
  </w:num>
  <w:num w:numId="15">
    <w:abstractNumId w:val="29"/>
  </w:num>
  <w:num w:numId="16">
    <w:abstractNumId w:val="31"/>
  </w:num>
  <w:num w:numId="17">
    <w:abstractNumId w:val="9"/>
  </w:num>
  <w:num w:numId="18">
    <w:abstractNumId w:val="26"/>
  </w:num>
  <w:num w:numId="19">
    <w:abstractNumId w:val="13"/>
  </w:num>
  <w:num w:numId="20">
    <w:abstractNumId w:val="8"/>
  </w:num>
  <w:num w:numId="21">
    <w:abstractNumId w:val="22"/>
  </w:num>
  <w:num w:numId="22">
    <w:abstractNumId w:val="4"/>
  </w:num>
  <w:num w:numId="23">
    <w:abstractNumId w:val="20"/>
  </w:num>
  <w:num w:numId="24">
    <w:abstractNumId w:val="6"/>
  </w:num>
  <w:num w:numId="25">
    <w:abstractNumId w:val="20"/>
  </w:num>
  <w:num w:numId="26">
    <w:abstractNumId w:val="2"/>
  </w:num>
  <w:num w:numId="27">
    <w:abstractNumId w:val="12"/>
  </w:num>
  <w:num w:numId="28">
    <w:abstractNumId w:val="30"/>
  </w:num>
  <w:num w:numId="29">
    <w:abstractNumId w:val="28"/>
  </w:num>
  <w:num w:numId="30">
    <w:abstractNumId w:val="7"/>
  </w:num>
  <w:num w:numId="31">
    <w:abstractNumId w:val="24"/>
  </w:num>
  <w:num w:numId="32">
    <w:abstractNumId w:val="5"/>
  </w:num>
  <w:num w:numId="3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16C"/>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200"/>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8D"/>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3A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252"/>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B2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C59"/>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78B"/>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85"/>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0E"/>
    <w:rsid w:val="001A1987"/>
    <w:rsid w:val="001A2564"/>
    <w:rsid w:val="001A2707"/>
    <w:rsid w:val="001A279E"/>
    <w:rsid w:val="001A3324"/>
    <w:rsid w:val="001A33C5"/>
    <w:rsid w:val="001A464A"/>
    <w:rsid w:val="001A48E8"/>
    <w:rsid w:val="001A4AD0"/>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1A37"/>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9C"/>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BB1"/>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303"/>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2ED2"/>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FA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1D"/>
    <w:rsid w:val="00315787"/>
    <w:rsid w:val="003158EF"/>
    <w:rsid w:val="00315C6E"/>
    <w:rsid w:val="0031632F"/>
    <w:rsid w:val="00317197"/>
    <w:rsid w:val="003177EB"/>
    <w:rsid w:val="00317EEF"/>
    <w:rsid w:val="003203ED"/>
    <w:rsid w:val="003208B0"/>
    <w:rsid w:val="00320E22"/>
    <w:rsid w:val="003212DB"/>
    <w:rsid w:val="00322154"/>
    <w:rsid w:val="003222AB"/>
    <w:rsid w:val="003226E1"/>
    <w:rsid w:val="00322C9F"/>
    <w:rsid w:val="00323ACB"/>
    <w:rsid w:val="00323EED"/>
    <w:rsid w:val="00324402"/>
    <w:rsid w:val="0032487D"/>
    <w:rsid w:val="003249E4"/>
    <w:rsid w:val="00324D23"/>
    <w:rsid w:val="0032515B"/>
    <w:rsid w:val="003251B5"/>
    <w:rsid w:val="0032590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37322"/>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650"/>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4FBA"/>
    <w:rsid w:val="003A52F5"/>
    <w:rsid w:val="003A5B0A"/>
    <w:rsid w:val="003A6268"/>
    <w:rsid w:val="003A6BAC"/>
    <w:rsid w:val="003A6CFA"/>
    <w:rsid w:val="003A71F2"/>
    <w:rsid w:val="003A723A"/>
    <w:rsid w:val="003A7AEF"/>
    <w:rsid w:val="003A7EF3"/>
    <w:rsid w:val="003B0554"/>
    <w:rsid w:val="003B05BE"/>
    <w:rsid w:val="003B13B9"/>
    <w:rsid w:val="003B159C"/>
    <w:rsid w:val="003B1A36"/>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3"/>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D14"/>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75C"/>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39"/>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4DE"/>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782"/>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D0B"/>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1E8"/>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8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3DF7"/>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DEF"/>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A64"/>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58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424"/>
    <w:rsid w:val="006C7522"/>
    <w:rsid w:val="006D0A7E"/>
    <w:rsid w:val="006D0B1B"/>
    <w:rsid w:val="006D0B9C"/>
    <w:rsid w:val="006D1806"/>
    <w:rsid w:val="006D1B3A"/>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4BA"/>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AEF"/>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3B42"/>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7B4"/>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3DE"/>
    <w:rsid w:val="00763A6D"/>
    <w:rsid w:val="00764EBC"/>
    <w:rsid w:val="00764FBD"/>
    <w:rsid w:val="007651F7"/>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2770"/>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C68"/>
    <w:rsid w:val="007C60BF"/>
    <w:rsid w:val="007C6A07"/>
    <w:rsid w:val="007C71F3"/>
    <w:rsid w:val="007C7350"/>
    <w:rsid w:val="007C75A1"/>
    <w:rsid w:val="007C77A5"/>
    <w:rsid w:val="007C7C91"/>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9FE"/>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5CD1"/>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CF0"/>
    <w:rsid w:val="00870F8A"/>
    <w:rsid w:val="0087129E"/>
    <w:rsid w:val="0087143B"/>
    <w:rsid w:val="00871527"/>
    <w:rsid w:val="008719A4"/>
    <w:rsid w:val="00871D23"/>
    <w:rsid w:val="00871F8C"/>
    <w:rsid w:val="0087287E"/>
    <w:rsid w:val="00873732"/>
    <w:rsid w:val="00873D37"/>
    <w:rsid w:val="00873F28"/>
    <w:rsid w:val="008741A4"/>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6F"/>
    <w:rsid w:val="008804BF"/>
    <w:rsid w:val="00880622"/>
    <w:rsid w:val="00880810"/>
    <w:rsid w:val="00881625"/>
    <w:rsid w:val="00881C1B"/>
    <w:rsid w:val="00882C47"/>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11E"/>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5FF2"/>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DB7"/>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7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8D8"/>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E43"/>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5D1"/>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457"/>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DCF"/>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066"/>
    <w:rsid w:val="00A21369"/>
    <w:rsid w:val="00A2193B"/>
    <w:rsid w:val="00A220C5"/>
    <w:rsid w:val="00A2279A"/>
    <w:rsid w:val="00A23156"/>
    <w:rsid w:val="00A2351A"/>
    <w:rsid w:val="00A23801"/>
    <w:rsid w:val="00A23F02"/>
    <w:rsid w:val="00A23FCF"/>
    <w:rsid w:val="00A241CC"/>
    <w:rsid w:val="00A2474B"/>
    <w:rsid w:val="00A24A46"/>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DA"/>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1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27F"/>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A20"/>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26D4"/>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5BEF"/>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CEA"/>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F59"/>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46FF"/>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E37"/>
    <w:rsid w:val="00BD5F1A"/>
    <w:rsid w:val="00BD619F"/>
    <w:rsid w:val="00BD721C"/>
    <w:rsid w:val="00BD7A8B"/>
    <w:rsid w:val="00BD7F16"/>
    <w:rsid w:val="00BE0841"/>
    <w:rsid w:val="00BE0B97"/>
    <w:rsid w:val="00BE0BF1"/>
    <w:rsid w:val="00BE0C2D"/>
    <w:rsid w:val="00BE1234"/>
    <w:rsid w:val="00BE191B"/>
    <w:rsid w:val="00BE1E63"/>
    <w:rsid w:val="00BE1FD4"/>
    <w:rsid w:val="00BE2FA6"/>
    <w:rsid w:val="00BE333F"/>
    <w:rsid w:val="00BE38DC"/>
    <w:rsid w:val="00BE3DB9"/>
    <w:rsid w:val="00BE3F9C"/>
    <w:rsid w:val="00BE45B3"/>
    <w:rsid w:val="00BE4818"/>
    <w:rsid w:val="00BE5A09"/>
    <w:rsid w:val="00BE5A2F"/>
    <w:rsid w:val="00BE5EAE"/>
    <w:rsid w:val="00BE622F"/>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7BE"/>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46CD"/>
    <w:rsid w:val="00C05706"/>
    <w:rsid w:val="00C05E8E"/>
    <w:rsid w:val="00C06082"/>
    <w:rsid w:val="00C06169"/>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E35"/>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2DB"/>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1CD"/>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09D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2B74"/>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6FC"/>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4E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88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8CD"/>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9E8"/>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00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3C43"/>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7EE"/>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C3"/>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4A2"/>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43E"/>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29F1"/>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89D"/>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E48"/>
    <w:rsid w:val="00F672CB"/>
    <w:rsid w:val="00F676FE"/>
    <w:rsid w:val="00F678AD"/>
    <w:rsid w:val="00F67ABA"/>
    <w:rsid w:val="00F67B02"/>
    <w:rsid w:val="00F67DCB"/>
    <w:rsid w:val="00F67F53"/>
    <w:rsid w:val="00F703BE"/>
    <w:rsid w:val="00F7060A"/>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4CDE"/>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221"/>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B6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FAA"/>
    <w:rsid w:val="00FB6A6A"/>
    <w:rsid w:val="00FB6AF7"/>
    <w:rsid w:val="00FB72D9"/>
    <w:rsid w:val="00FB743F"/>
    <w:rsid w:val="00FB7CAE"/>
    <w:rsid w:val="00FC037F"/>
    <w:rsid w:val="00FC132F"/>
    <w:rsid w:val="00FC14D6"/>
    <w:rsid w:val="00FC224E"/>
    <w:rsid w:val="00FC2594"/>
    <w:rsid w:val="00FC2C6B"/>
    <w:rsid w:val="00FC2F90"/>
    <w:rsid w:val="00FC3B35"/>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2021-11-04T20:58:00Z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